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w:t>
      </w:r>
      <w:r>
        <w:rPr>
          <w:rFonts w:hint="eastAsia" w:eastAsia="方正小标宋简体"/>
          <w:sz w:val="44"/>
          <w:szCs w:val="44"/>
          <w:lang w:val="en-US" w:eastAsia="zh-CN"/>
        </w:rPr>
        <w:t>南塔街道</w:t>
      </w:r>
      <w:r>
        <w:rPr>
          <w:rFonts w:hint="eastAsia" w:eastAsia="方正小标宋简体"/>
          <w:sz w:val="44"/>
          <w:szCs w:val="44"/>
        </w:rPr>
        <w:t>项目支出绩效自评报告</w:t>
      </w:r>
    </w:p>
    <w:p>
      <w:pPr>
        <w:spacing w:line="580" w:lineRule="exact"/>
        <w:jc w:val="center"/>
        <w:rPr>
          <w:rFonts w:hint="eastAsia"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南塔街道办事处安装电梯项目</w:t>
      </w:r>
      <w:r>
        <w:rPr>
          <w:rFonts w:hint="eastAsia" w:eastAsia="方正楷体简体"/>
          <w:b/>
          <w:sz w:val="32"/>
          <w:szCs w:val="32"/>
          <w:lang w:eastAsia="zh-CN"/>
        </w:rPr>
        <w:t>建设资金</w:t>
      </w:r>
      <w:r>
        <w:rPr>
          <w:rFonts w:hint="eastAsia" w:eastAsia="方正楷体简体"/>
          <w:b/>
          <w:sz w:val="32"/>
          <w:szCs w:val="32"/>
        </w:rPr>
        <w:t>）</w:t>
      </w:r>
    </w:p>
    <w:p>
      <w:pPr>
        <w:spacing w:line="580" w:lineRule="exact"/>
        <w:ind w:firstLine="560" w:firstLineChars="200"/>
        <w:rPr>
          <w:rFonts w:hint="eastAsia" w:eastAsia="方正仿宋简体"/>
          <w:sz w:val="28"/>
          <w:szCs w:val="28"/>
          <w:lang w:val="en-US" w:eastAsia="zh-CN"/>
        </w:rPr>
      </w:pPr>
      <w:r>
        <w:rPr>
          <w:rFonts w:hint="eastAsia" w:eastAsia="方正仿宋简体"/>
          <w:sz w:val="28"/>
          <w:szCs w:val="28"/>
          <w:lang w:val="en-US" w:eastAsia="zh-CN"/>
        </w:rPr>
        <w:t>为充分发放财政资金的作用，按照乐至县财政局《关于开展2021年度财政支出绩效自评工作的通知》（乐财监督绩效【2022】5号）通知要求，我街道高度重视，认真组织开展南塔街道办事处安装电梯建设资金项目支出绩效自评，现将自评工作总结如下。</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lang w:val="en-US" w:eastAsia="zh-CN"/>
        </w:rPr>
      </w:pPr>
      <w:r>
        <w:rPr>
          <w:rFonts w:eastAsia="方正仿宋简体"/>
          <w:b/>
          <w:sz w:val="32"/>
          <w:szCs w:val="32"/>
        </w:rPr>
        <w:t>1.</w:t>
      </w:r>
      <w:r>
        <w:rPr>
          <w:rFonts w:hint="eastAsia" w:eastAsia="方正仿宋简体"/>
          <w:sz w:val="32"/>
          <w:szCs w:val="32"/>
        </w:rPr>
        <w:t>立项背景及目的</w:t>
      </w:r>
      <w:r>
        <w:rPr>
          <w:rFonts w:hint="eastAsia" w:eastAsia="方正仿宋简体"/>
          <w:sz w:val="32"/>
          <w:szCs w:val="32"/>
          <w:lang w:eastAsia="zh-CN"/>
        </w:rPr>
        <w:t>。</w:t>
      </w:r>
      <w:r>
        <w:rPr>
          <w:rFonts w:hint="eastAsia" w:eastAsia="方正仿宋简体"/>
          <w:sz w:val="32"/>
          <w:szCs w:val="32"/>
          <w:lang w:val="en-US" w:eastAsia="zh-CN"/>
        </w:rPr>
        <w:t>南塔街道各居住小区老年人、残疾人较多，居住小区老年人、残疾人上、下楼出行不便，为方便老年人、残疾人出行，改善各居住小区居民生活条件，切实增强群众获得感和幸福感，</w:t>
      </w:r>
      <w:r>
        <w:rPr>
          <w:rFonts w:hint="eastAsia" w:eastAsia="方正仿宋简体"/>
          <w:sz w:val="32"/>
          <w:szCs w:val="32"/>
        </w:rPr>
        <w:t>立项</w:t>
      </w:r>
      <w:r>
        <w:rPr>
          <w:rFonts w:hint="eastAsia" w:eastAsia="方正仿宋简体"/>
          <w:sz w:val="32"/>
          <w:szCs w:val="32"/>
          <w:lang w:val="en-US" w:eastAsia="zh-CN"/>
        </w:rPr>
        <w:t>安装电梯项目建设。</w:t>
      </w:r>
    </w:p>
    <w:p>
      <w:pPr>
        <w:spacing w:line="580" w:lineRule="exact"/>
        <w:ind w:firstLine="643" w:firstLineChars="200"/>
        <w:rPr>
          <w:rFonts w:hint="eastAsia" w:eastAsia="方正仿宋简体"/>
          <w:sz w:val="28"/>
          <w:szCs w:val="28"/>
          <w:lang w:eastAsia="zh-CN"/>
        </w:rPr>
      </w:pPr>
      <w:r>
        <w:rPr>
          <w:rFonts w:eastAsia="方正仿宋简体"/>
          <w:b/>
          <w:sz w:val="32"/>
          <w:szCs w:val="32"/>
        </w:rPr>
        <w:t>2.</w:t>
      </w:r>
      <w:r>
        <w:rPr>
          <w:rFonts w:hint="eastAsia" w:eastAsia="方正仿宋简体"/>
          <w:sz w:val="32"/>
          <w:szCs w:val="32"/>
        </w:rPr>
        <w:t>预算资金来源及使用情况</w:t>
      </w:r>
      <w:r>
        <w:rPr>
          <w:rFonts w:hint="eastAsia" w:eastAsia="方正仿宋简体"/>
          <w:sz w:val="32"/>
          <w:szCs w:val="32"/>
          <w:lang w:eastAsia="zh-CN"/>
        </w:rPr>
        <w:t>。</w:t>
      </w:r>
      <w:r>
        <w:rPr>
          <w:rFonts w:hint="eastAsia" w:eastAsia="方正仿宋简体"/>
          <w:sz w:val="28"/>
          <w:szCs w:val="28"/>
          <w:lang w:val="en-US" w:eastAsia="zh-CN"/>
        </w:rPr>
        <w:t>项目全年预算数2200万元，执行数为2200万元，用于建设南塔街道便民服务中心，完成预算的100%。</w:t>
      </w:r>
    </w:p>
    <w:p>
      <w:pPr>
        <w:spacing w:line="580" w:lineRule="exact"/>
        <w:ind w:firstLine="643" w:firstLineChars="200"/>
        <w:rPr>
          <w:rFonts w:hint="eastAsia" w:eastAsia="方正仿宋简体"/>
          <w:sz w:val="28"/>
          <w:szCs w:val="28"/>
          <w:lang w:val="en-US" w:eastAsia="zh-CN"/>
        </w:rPr>
      </w:pPr>
      <w:r>
        <w:rPr>
          <w:rFonts w:hint="eastAsia" w:eastAsia="方正仿宋简体"/>
          <w:b/>
          <w:bCs/>
          <w:sz w:val="32"/>
          <w:szCs w:val="32"/>
        </w:rPr>
        <w:t>3</w:t>
      </w:r>
      <w:r>
        <w:rPr>
          <w:rFonts w:hint="eastAsia" w:eastAsia="方正仿宋简体"/>
          <w:sz w:val="32"/>
          <w:szCs w:val="32"/>
        </w:rPr>
        <w:t>.</w:t>
      </w:r>
      <w:r>
        <w:rPr>
          <w:rFonts w:hint="eastAsia" w:eastAsia="方正仿宋简体"/>
          <w:sz w:val="32"/>
          <w:szCs w:val="32"/>
          <w:lang w:val="en-US" w:eastAsia="zh-CN"/>
        </w:rPr>
        <w:t>组织</w:t>
      </w:r>
      <w:r>
        <w:rPr>
          <w:rFonts w:hint="eastAsia" w:eastAsia="方正仿宋简体"/>
          <w:sz w:val="32"/>
          <w:szCs w:val="32"/>
        </w:rPr>
        <w:t>实施情况</w:t>
      </w:r>
      <w:r>
        <w:rPr>
          <w:rFonts w:hint="eastAsia" w:eastAsia="方正仿宋简体"/>
          <w:sz w:val="32"/>
          <w:szCs w:val="32"/>
          <w:lang w:eastAsia="zh-CN"/>
        </w:rPr>
        <w:t>。</w:t>
      </w:r>
      <w:r>
        <w:rPr>
          <w:rFonts w:hint="eastAsia" w:eastAsia="方正仿宋简体"/>
          <w:sz w:val="32"/>
          <w:szCs w:val="32"/>
          <w:lang w:val="en-US" w:eastAsia="zh-CN"/>
        </w:rPr>
        <w:t>各居住小区楼栋单元业主根据各自实际情况、本单元业主生活需要，共同协商达成安装电梯项目建设协议，经公示无异议，向社区、街道、县房管局申报安装电梯项目建设，到县住建、自规局等各部门审批建设手续，各安装电梯居住小区楼栋单元业主</w:t>
      </w:r>
      <w:r>
        <w:rPr>
          <w:rFonts w:hint="eastAsia" w:eastAsia="方正仿宋简体"/>
          <w:sz w:val="28"/>
          <w:szCs w:val="28"/>
          <w:lang w:val="en-US" w:eastAsia="zh-CN"/>
        </w:rPr>
        <w:t>选择施工单位，签订安装电梯合同，按照合同要求进行施工，工程完工后组织验收，合格后支付相应工程款项，建设工程质量合格的电梯。</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560" w:firstLineChars="200"/>
        <w:rPr>
          <w:rFonts w:eastAsia="方正仿宋简体"/>
          <w:sz w:val="32"/>
          <w:szCs w:val="32"/>
        </w:rPr>
      </w:pPr>
      <w:r>
        <w:rPr>
          <w:rFonts w:hint="eastAsia" w:eastAsia="方正仿宋简体"/>
          <w:sz w:val="28"/>
          <w:szCs w:val="28"/>
          <w:lang w:val="en-US" w:eastAsia="zh-CN"/>
        </w:rPr>
        <w:t>绩效总体目标是</w:t>
      </w:r>
      <w:r>
        <w:rPr>
          <w:rFonts w:hint="eastAsia" w:eastAsia="方正仿宋简体"/>
          <w:sz w:val="32"/>
          <w:szCs w:val="32"/>
          <w:lang w:val="en-US" w:eastAsia="zh-CN"/>
        </w:rPr>
        <w:t>安装电梯</w:t>
      </w:r>
      <w:r>
        <w:rPr>
          <w:rFonts w:hint="eastAsia" w:eastAsia="方正仿宋简体"/>
          <w:sz w:val="28"/>
          <w:szCs w:val="28"/>
          <w:lang w:val="en-US" w:eastAsia="zh-CN"/>
        </w:rPr>
        <w:t>保障建设顺利实施，各小区群众生活质量得到改善。数量指标：完成安装电梯55部；质量指标：按照设计要求达标率；时效指标：120天内完成；成本指标：资金投入小于等于2200万元；社会效益指标：</w:t>
      </w:r>
      <w:r>
        <w:rPr>
          <w:rFonts w:hint="eastAsia" w:eastAsia="方正仿宋简体"/>
          <w:sz w:val="32"/>
          <w:szCs w:val="32"/>
          <w:lang w:val="en-US" w:eastAsia="zh-CN"/>
        </w:rPr>
        <w:t>方便老年人、残疾人出行，改善各居住小区居民生活条件，切实增强群众获得感和幸福感</w:t>
      </w:r>
      <w:r>
        <w:rPr>
          <w:rFonts w:hint="eastAsia" w:eastAsia="方正仿宋简体"/>
          <w:sz w:val="28"/>
          <w:szCs w:val="28"/>
          <w:lang w:val="en-US" w:eastAsia="zh-CN"/>
        </w:rPr>
        <w:t>；满意度指标：受益群众满意度大于90%。</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560" w:firstLineChars="200"/>
        <w:rPr>
          <w:rFonts w:hint="eastAsia" w:eastAsia="方正仿宋简体"/>
          <w:sz w:val="28"/>
          <w:szCs w:val="28"/>
          <w:lang w:val="en-US" w:eastAsia="zh-CN"/>
        </w:rPr>
      </w:pPr>
      <w:r>
        <w:rPr>
          <w:rFonts w:hint="eastAsia" w:eastAsia="方正仿宋简体"/>
          <w:sz w:val="28"/>
          <w:szCs w:val="28"/>
          <w:lang w:val="en-US" w:eastAsia="zh-CN"/>
        </w:rPr>
        <w:t>街道党工委、街道办高度重视绩效自评工作，及时组织相关人员开展自评工作，对项目完成数量、质量、时效、成本等指标开展自评，并深入开展分析。</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eastAsia="方正仿宋简体"/>
          <w:sz w:val="28"/>
          <w:szCs w:val="28"/>
          <w:lang w:val="en-US" w:eastAsia="zh-CN"/>
        </w:rPr>
        <w:t>严格按照投入、过程、产出、效果等指标评分，自评等级为优。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rPr>
          <w:rFonts w:hint="eastAsia" w:ascii="Times New Roman" w:hAnsi="Times New Roman" w:eastAsia="方正仿宋简体" w:cs="Times New Roman"/>
          <w:kern w:val="2"/>
          <w:sz w:val="28"/>
          <w:szCs w:val="28"/>
          <w:lang w:val="en-US" w:eastAsia="zh-CN" w:bidi="ar-SA"/>
        </w:rPr>
      </w:pP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项目资金到位情况分析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202</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年度下达</w:t>
      </w:r>
      <w:r>
        <w:rPr>
          <w:rFonts w:hint="eastAsia" w:eastAsia="方正仿宋简体" w:cs="Times New Roman"/>
          <w:kern w:val="2"/>
          <w:sz w:val="28"/>
          <w:szCs w:val="28"/>
          <w:lang w:val="en-US" w:eastAsia="zh-CN" w:bidi="ar-SA"/>
        </w:rPr>
        <w:t>我街道办事处安装电梯补助</w:t>
      </w:r>
      <w:r>
        <w:rPr>
          <w:rFonts w:hint="eastAsia" w:ascii="Times New Roman" w:hAnsi="Times New Roman" w:eastAsia="方正仿宋简体" w:cs="Times New Roman"/>
          <w:kern w:val="2"/>
          <w:sz w:val="28"/>
          <w:szCs w:val="28"/>
          <w:lang w:val="en-US" w:eastAsia="zh-CN" w:bidi="ar-SA"/>
        </w:rPr>
        <w:t>资金</w:t>
      </w:r>
      <w:r>
        <w:rPr>
          <w:rFonts w:hint="eastAsia" w:eastAsia="方正仿宋简体" w:cs="Times New Roman"/>
          <w:kern w:val="2"/>
          <w:sz w:val="28"/>
          <w:szCs w:val="28"/>
          <w:lang w:val="en-US" w:eastAsia="zh-CN" w:bidi="ar-SA"/>
        </w:rPr>
        <w:t>1100万</w:t>
      </w:r>
      <w:r>
        <w:rPr>
          <w:rFonts w:hint="eastAsia" w:ascii="Times New Roman" w:hAnsi="Times New Roman" w:eastAsia="方正仿宋简体" w:cs="Times New Roman"/>
          <w:kern w:val="2"/>
          <w:sz w:val="28"/>
          <w:szCs w:val="28"/>
          <w:lang w:val="en-US" w:eastAsia="zh-CN" w:bidi="ar-SA"/>
        </w:rPr>
        <w:t>元</w:t>
      </w:r>
      <w:r>
        <w:rPr>
          <w:rFonts w:hint="eastAsia" w:eastAsia="方正仿宋简体" w:cs="Times New Roman"/>
          <w:kern w:val="2"/>
          <w:sz w:val="28"/>
          <w:szCs w:val="28"/>
          <w:lang w:val="en-US" w:eastAsia="zh-CN" w:bidi="ar-SA"/>
        </w:rPr>
        <w:t>，安装电梯</w:t>
      </w:r>
      <w:r>
        <w:rPr>
          <w:rFonts w:hint="eastAsia" w:eastAsia="方正仿宋简体"/>
          <w:sz w:val="32"/>
          <w:szCs w:val="32"/>
          <w:lang w:val="en-US" w:eastAsia="zh-CN"/>
        </w:rPr>
        <w:t>居住小区楼栋单元业主集资1100万元，</w:t>
      </w:r>
      <w:r>
        <w:rPr>
          <w:rFonts w:hint="eastAsia" w:eastAsia="方正仿宋简体" w:cs="Times New Roman"/>
          <w:kern w:val="2"/>
          <w:sz w:val="28"/>
          <w:szCs w:val="28"/>
          <w:lang w:val="en-US" w:eastAsia="zh-CN" w:bidi="ar-SA"/>
        </w:rPr>
        <w:t>各资金</w:t>
      </w:r>
      <w:r>
        <w:rPr>
          <w:rFonts w:hint="eastAsia" w:ascii="Times New Roman" w:hAnsi="Times New Roman" w:eastAsia="方正仿宋简体" w:cs="Times New Roman"/>
          <w:kern w:val="2"/>
          <w:sz w:val="28"/>
          <w:szCs w:val="28"/>
          <w:lang w:val="en-US" w:eastAsia="zh-CN" w:bidi="ar-SA"/>
        </w:rPr>
        <w:t>到位率100%。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rPr>
          <w:rFonts w:hint="eastAsia"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2、项目资金执行情况分析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项目资金按要求</w:t>
      </w:r>
      <w:r>
        <w:rPr>
          <w:rFonts w:hint="eastAsia" w:eastAsia="方正仿宋简体" w:cs="Times New Roman"/>
          <w:kern w:val="2"/>
          <w:sz w:val="28"/>
          <w:szCs w:val="28"/>
          <w:lang w:val="en-US" w:eastAsia="zh-CN" w:bidi="ar-SA"/>
        </w:rPr>
        <w:t>用于南塔街道安装电梯</w:t>
      </w:r>
      <w:r>
        <w:rPr>
          <w:rFonts w:hint="eastAsia" w:ascii="Times New Roman" w:hAnsi="Times New Roman" w:eastAsia="方正仿宋简体" w:cs="Times New Roman"/>
          <w:kern w:val="2"/>
          <w:sz w:val="28"/>
          <w:szCs w:val="28"/>
          <w:lang w:val="en-US" w:eastAsia="zh-CN" w:bidi="ar-SA"/>
        </w:rPr>
        <w:t>建设，资金执行率为100%</w:t>
      </w:r>
      <w:r>
        <w:rPr>
          <w:rFonts w:hint="eastAsia" w:eastAsia="方正仿宋简体" w:cs="Times New Roman"/>
          <w:kern w:val="2"/>
          <w:sz w:val="28"/>
          <w:szCs w:val="28"/>
          <w:lang w:val="en-US" w:eastAsia="zh-CN" w:bidi="ar-SA"/>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3、项目资金管理情况分析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项目资金无挪用、截留情况。统一使用管理，规范了资金来源、支出范围、使用管理、监督管理，</w:t>
      </w:r>
      <w:r>
        <w:rPr>
          <w:rFonts w:hint="eastAsia" w:eastAsia="方正仿宋简体" w:cs="Times New Roman"/>
          <w:kern w:val="2"/>
          <w:sz w:val="28"/>
          <w:szCs w:val="28"/>
          <w:lang w:val="en-US" w:eastAsia="zh-CN" w:bidi="ar-SA"/>
        </w:rPr>
        <w:t>目前各安装电梯项目建设全部完成，达到了预期效果</w:t>
      </w:r>
      <w:r>
        <w:rPr>
          <w:rFonts w:hint="eastAsia" w:ascii="Times New Roman" w:hAnsi="Times New Roman" w:eastAsia="方正仿宋简体" w:cs="Times New Roman"/>
          <w:kern w:val="2"/>
          <w:sz w:val="28"/>
          <w:szCs w:val="28"/>
          <w:lang w:val="en-US" w:eastAsia="zh-CN" w:bidi="ar-SA"/>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0" w:firstLineChars="200"/>
        <w:rPr>
          <w:rFonts w:hint="eastAsia" w:ascii="Times New Roman" w:hAnsi="Times New Roman" w:eastAsia="方正仿宋简体" w:cs="Times New Roman"/>
          <w:kern w:val="2"/>
          <w:sz w:val="28"/>
          <w:szCs w:val="28"/>
          <w:lang w:val="en-US" w:eastAsia="zh-CN" w:bidi="ar-SA"/>
        </w:rPr>
      </w:pPr>
      <w:r>
        <w:rPr>
          <w:rFonts w:hint="eastAsia" w:eastAsia="方正仿宋简体"/>
          <w:sz w:val="32"/>
          <w:szCs w:val="32"/>
          <w:lang w:val="en-US" w:eastAsia="zh-CN"/>
        </w:rPr>
        <w:t>各安装电梯居住小区楼栋单元业主</w:t>
      </w:r>
      <w:r>
        <w:rPr>
          <w:rFonts w:hint="eastAsia" w:ascii="Times New Roman" w:hAnsi="Times New Roman" w:eastAsia="方正仿宋简体" w:cs="Times New Roman"/>
          <w:kern w:val="2"/>
          <w:sz w:val="28"/>
          <w:szCs w:val="28"/>
          <w:lang w:val="en-US" w:eastAsia="zh-CN" w:bidi="ar-SA"/>
        </w:rPr>
        <w:t>完善对补助建设项目形成资产的管护。建立健全各项运行</w:t>
      </w:r>
      <w:r>
        <w:rPr>
          <w:rFonts w:hint="eastAsia" w:eastAsia="方正仿宋简体" w:cs="Times New Roman"/>
          <w:kern w:val="2"/>
          <w:sz w:val="28"/>
          <w:szCs w:val="28"/>
          <w:lang w:val="en-US" w:eastAsia="zh-CN" w:bidi="ar-SA"/>
        </w:rPr>
        <w:t>管护</w:t>
      </w:r>
      <w:r>
        <w:rPr>
          <w:rFonts w:hint="eastAsia" w:ascii="Times New Roman" w:hAnsi="Times New Roman" w:eastAsia="方正仿宋简体" w:cs="Times New Roman"/>
          <w:kern w:val="2"/>
          <w:sz w:val="28"/>
          <w:szCs w:val="28"/>
          <w:lang w:val="en-US" w:eastAsia="zh-CN" w:bidi="ar-SA"/>
        </w:rPr>
        <w:t>制度，制定管护措施、落实管护责任，保证项目正常运转，发挥长期效益。</w:t>
      </w:r>
    </w:p>
    <w:p>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附件：1.202</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年度</w:t>
      </w:r>
      <w:r>
        <w:rPr>
          <w:rFonts w:hint="eastAsia" w:eastAsia="方正仿宋简体" w:cs="Times New Roman"/>
          <w:kern w:val="2"/>
          <w:sz w:val="28"/>
          <w:szCs w:val="28"/>
          <w:lang w:val="en-US" w:eastAsia="zh-CN" w:bidi="ar-SA"/>
        </w:rPr>
        <w:t>南塔街道</w:t>
      </w:r>
      <w:r>
        <w:rPr>
          <w:rFonts w:hint="eastAsia" w:ascii="Times New Roman" w:hAnsi="Times New Roman" w:eastAsia="方正仿宋简体" w:cs="Times New Roman"/>
          <w:kern w:val="2"/>
          <w:sz w:val="28"/>
          <w:szCs w:val="28"/>
          <w:lang w:val="en-US" w:eastAsia="zh-CN" w:bidi="ar-SA"/>
        </w:rPr>
        <w:t>项目支出绩效自评计分表</w:t>
      </w:r>
    </w:p>
    <w:p>
      <w:pPr>
        <w:spacing w:line="580" w:lineRule="exact"/>
        <w:ind w:firstLine="1120" w:firstLineChars="400"/>
        <w:rPr>
          <w:rFonts w:ascii="宋体" w:hAnsi="宋体" w:eastAsia="方正小标宋简体"/>
          <w:bCs/>
          <w:kern w:val="0"/>
          <w:sz w:val="40"/>
          <w:szCs w:val="40"/>
        </w:rPr>
        <w:sectPr>
          <w:pgSz w:w="11907" w:h="16840"/>
          <w:pgMar w:top="2098" w:right="1474" w:bottom="1928" w:left="1588" w:header="851" w:footer="992" w:gutter="0"/>
          <w:cols w:space="425" w:num="1"/>
          <w:docGrid w:type="lines" w:linePitch="312" w:charSpace="0"/>
        </w:sectPr>
      </w:pPr>
      <w:r>
        <w:rPr>
          <w:rFonts w:hint="eastAsia" w:ascii="Times New Roman" w:hAnsi="Times New Roman" w:eastAsia="方正仿宋简体" w:cs="Times New Roman"/>
          <w:kern w:val="2"/>
          <w:sz w:val="28"/>
          <w:szCs w:val="28"/>
          <w:lang w:val="en-US" w:eastAsia="zh-CN" w:bidi="ar-SA"/>
        </w:rPr>
        <w:t>2.202</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年度</w:t>
      </w:r>
      <w:r>
        <w:rPr>
          <w:rFonts w:hint="eastAsia" w:eastAsia="方正仿宋简体" w:cs="Times New Roman"/>
          <w:kern w:val="2"/>
          <w:sz w:val="28"/>
          <w:szCs w:val="28"/>
          <w:lang w:val="en-US" w:eastAsia="zh-CN" w:bidi="ar-SA"/>
        </w:rPr>
        <w:t>南塔街道</w:t>
      </w:r>
      <w:r>
        <w:rPr>
          <w:rFonts w:hint="eastAsia" w:ascii="Times New Roman" w:hAnsi="Times New Roman" w:eastAsia="方正仿宋简体" w:cs="Times New Roman"/>
          <w:kern w:val="2"/>
          <w:sz w:val="28"/>
          <w:szCs w:val="28"/>
          <w:lang w:val="en-US" w:eastAsia="zh-CN" w:bidi="ar-SA"/>
        </w:rPr>
        <w:t>项目支出绩效目标完成情况表</w:t>
      </w: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w:t>
      </w:r>
      <w:r>
        <w:rPr>
          <w:rFonts w:hint="eastAsia" w:eastAsia="方正小标宋简体"/>
          <w:bCs/>
          <w:kern w:val="0"/>
          <w:sz w:val="44"/>
          <w:szCs w:val="44"/>
          <w:lang w:val="en-US" w:eastAsia="zh-CN"/>
        </w:rPr>
        <w:t>南塔街道</w:t>
      </w:r>
      <w:r>
        <w:rPr>
          <w:rFonts w:hint="eastAsia" w:eastAsia="方正小标宋简体"/>
          <w:bCs/>
          <w:kern w:val="0"/>
          <w:sz w:val="44"/>
          <w:szCs w:val="44"/>
        </w:rPr>
        <w:t>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sz w:val="32"/>
          <w:szCs w:val="32"/>
          <w:lang w:val="en-US" w:eastAsia="zh-CN"/>
        </w:rPr>
        <w:t>南塔街道办事处安装电梯</w:t>
      </w:r>
      <w:r>
        <w:rPr>
          <w:rFonts w:hint="eastAsia" w:eastAsia="方正楷体简体"/>
          <w:b/>
          <w:sz w:val="32"/>
          <w:szCs w:val="32"/>
          <w:lang w:eastAsia="zh-CN"/>
        </w:rPr>
        <w:t>建设资金</w:t>
      </w:r>
      <w:r>
        <w:rPr>
          <w:rFonts w:hint="eastAsia" w:eastAsia="方正楷体简体"/>
          <w:b/>
          <w:bCs/>
          <w:kern w:val="0"/>
          <w:sz w:val="32"/>
          <w:szCs w:val="32"/>
        </w:rPr>
        <w:t>）</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乐至县人民政府南塔街道办事处</w:t>
      </w:r>
      <w:r>
        <w:rPr>
          <w:bCs/>
          <w:kern w:val="0"/>
          <w:sz w:val="24"/>
        </w:rPr>
        <w:t xml:space="preserve"> </w:t>
      </w:r>
      <w:r>
        <w:rPr>
          <w:rFonts w:hint="eastAsia"/>
          <w:bCs/>
          <w:kern w:val="0"/>
          <w:sz w:val="24"/>
        </w:rPr>
        <w:t>预算单位编码：</w:t>
      </w:r>
      <w:r>
        <w:rPr>
          <w:rFonts w:hint="eastAsia"/>
          <w:color w:val="000000"/>
          <w:kern w:val="0"/>
          <w:szCs w:val="21"/>
          <w:lang w:val="en-US" w:eastAsia="zh-CN"/>
        </w:rPr>
        <w:t>301001</w:t>
      </w:r>
      <w:r>
        <w:rPr>
          <w:rFonts w:hint="eastAsia"/>
          <w:bCs/>
          <w:kern w:val="0"/>
          <w:sz w:val="24"/>
        </w:rPr>
        <w:t>自评等级：</w:t>
      </w:r>
      <w:r>
        <w:rPr>
          <w:rFonts w:hint="eastAsia"/>
          <w:bCs/>
          <w:kern w:val="0"/>
          <w:sz w:val="24"/>
          <w:lang w:val="en-US" w:eastAsia="zh-CN"/>
        </w:rPr>
        <w:t>优</w:t>
      </w:r>
    </w:p>
    <w:tbl>
      <w:tblPr>
        <w:tblStyle w:val="4"/>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78"/>
        <w:gridCol w:w="667"/>
        <w:gridCol w:w="815"/>
        <w:gridCol w:w="1664"/>
        <w:gridCol w:w="3510"/>
        <w:gridCol w:w="672"/>
        <w:gridCol w:w="11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6"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按照程序</w:t>
            </w:r>
          </w:p>
          <w:p>
            <w:pPr>
              <w:widowControl/>
              <w:spacing w:line="240" w:lineRule="exact"/>
              <w:jc w:val="center"/>
              <w:rPr>
                <w:rFonts w:hint="eastAsia"/>
                <w:kern w:val="0"/>
                <w:szCs w:val="21"/>
                <w:lang w:val="en-US" w:eastAsia="zh-CN"/>
              </w:rPr>
            </w:pPr>
            <w:r>
              <w:rPr>
                <w:rFonts w:hint="eastAsia"/>
                <w:kern w:val="0"/>
                <w:szCs w:val="21"/>
                <w:lang w:val="en-US" w:eastAsia="zh-CN"/>
              </w:rPr>
              <w:t>完成立项</w:t>
            </w:r>
          </w:p>
          <w:p>
            <w:pPr>
              <w:widowControl/>
              <w:spacing w:line="240" w:lineRule="exact"/>
              <w:jc w:val="center"/>
              <w:rPr>
                <w:rFonts w:hint="default"/>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开展事前</w:t>
            </w:r>
          </w:p>
          <w:p>
            <w:pPr>
              <w:widowControl/>
              <w:spacing w:line="240" w:lineRule="exact"/>
              <w:jc w:val="center"/>
              <w:rPr>
                <w:rFonts w:hint="default"/>
                <w:kern w:val="0"/>
                <w:szCs w:val="21"/>
                <w:lang w:val="en-US" w:eastAsia="zh-CN"/>
              </w:rPr>
            </w:pPr>
            <w:r>
              <w:rPr>
                <w:rFonts w:hint="eastAsia"/>
                <w:kern w:val="0"/>
                <w:szCs w:val="21"/>
                <w:lang w:val="en-US" w:eastAsia="zh-CN"/>
              </w:rPr>
              <w:t>绩效评估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绩效指标</w:t>
            </w:r>
          </w:p>
          <w:p>
            <w:pPr>
              <w:widowControl/>
              <w:spacing w:line="240" w:lineRule="exact"/>
              <w:jc w:val="center"/>
              <w:rPr>
                <w:rFonts w:hint="default" w:eastAsia="宋体"/>
                <w:kern w:val="0"/>
                <w:szCs w:val="21"/>
                <w:lang w:val="en-US" w:eastAsia="zh-CN"/>
              </w:rPr>
            </w:pPr>
            <w:r>
              <w:rPr>
                <w:rFonts w:hint="eastAsia"/>
                <w:kern w:val="0"/>
                <w:szCs w:val="21"/>
                <w:lang w:val="en-US" w:eastAsia="zh-CN"/>
              </w:rPr>
              <w:t>明确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财政资金</w:t>
            </w:r>
          </w:p>
          <w:p>
            <w:pPr>
              <w:widowControl/>
              <w:spacing w:line="240" w:lineRule="exact"/>
              <w:jc w:val="center"/>
              <w:rPr>
                <w:rFonts w:hint="eastAsia"/>
                <w:kern w:val="0"/>
                <w:szCs w:val="21"/>
                <w:lang w:val="en-US" w:eastAsia="zh-CN"/>
              </w:rPr>
            </w:pPr>
            <w:r>
              <w:rPr>
                <w:rFonts w:hint="eastAsia"/>
                <w:kern w:val="0"/>
                <w:szCs w:val="21"/>
                <w:lang w:val="en-US" w:eastAsia="zh-CN"/>
              </w:rPr>
              <w:t>到账后按</w:t>
            </w:r>
          </w:p>
          <w:p>
            <w:pPr>
              <w:widowControl/>
              <w:spacing w:line="240" w:lineRule="exact"/>
              <w:jc w:val="center"/>
              <w:rPr>
                <w:rFonts w:hint="eastAsia"/>
                <w:kern w:val="0"/>
                <w:szCs w:val="21"/>
                <w:lang w:val="en-US" w:eastAsia="zh-CN"/>
              </w:rPr>
            </w:pPr>
            <w:r>
              <w:rPr>
                <w:rFonts w:hint="eastAsia"/>
                <w:kern w:val="0"/>
                <w:szCs w:val="21"/>
                <w:lang w:val="en-US" w:eastAsia="zh-CN"/>
              </w:rPr>
              <w:t>照合同约</w:t>
            </w:r>
          </w:p>
          <w:p>
            <w:pPr>
              <w:widowControl/>
              <w:spacing w:line="240" w:lineRule="exact"/>
              <w:jc w:val="center"/>
              <w:rPr>
                <w:rFonts w:hint="eastAsia"/>
                <w:kern w:val="0"/>
                <w:szCs w:val="21"/>
                <w:lang w:val="en-US" w:eastAsia="zh-CN"/>
              </w:rPr>
            </w:pPr>
            <w:r>
              <w:rPr>
                <w:rFonts w:hint="eastAsia"/>
                <w:kern w:val="0"/>
                <w:szCs w:val="21"/>
                <w:lang w:val="en-US" w:eastAsia="zh-CN"/>
              </w:rPr>
              <w:t>定及时支</w:t>
            </w:r>
          </w:p>
          <w:p>
            <w:pPr>
              <w:widowControl/>
              <w:spacing w:line="240" w:lineRule="exact"/>
              <w:jc w:val="center"/>
              <w:rPr>
                <w:rFonts w:hint="default"/>
                <w:kern w:val="0"/>
                <w:szCs w:val="21"/>
                <w:lang w:val="en-US" w:eastAsia="zh-CN"/>
              </w:rPr>
            </w:pPr>
            <w:r>
              <w:rPr>
                <w:rFonts w:hint="eastAsia"/>
                <w:kern w:val="0"/>
                <w:szCs w:val="21"/>
                <w:lang w:val="en-US" w:eastAsia="zh-CN"/>
              </w:rPr>
              <w:t>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财政资金</w:t>
            </w:r>
          </w:p>
          <w:p>
            <w:pPr>
              <w:widowControl/>
              <w:spacing w:line="240" w:lineRule="exact"/>
              <w:jc w:val="center"/>
              <w:rPr>
                <w:rFonts w:hint="default"/>
                <w:kern w:val="0"/>
                <w:szCs w:val="21"/>
                <w:lang w:val="en-US" w:eastAsia="zh-CN"/>
              </w:rPr>
            </w:pPr>
            <w:r>
              <w:rPr>
                <w:rFonts w:hint="eastAsia"/>
                <w:kern w:val="0"/>
                <w:szCs w:val="21"/>
                <w:lang w:val="en-US" w:eastAsia="zh-CN"/>
              </w:rPr>
              <w:t>到位迟缓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1"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center"/>
              <w:rPr>
                <w:rFonts w:hint="default" w:eastAsia="宋体"/>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专款专用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1"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如期竣工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竣工验收</w:t>
            </w:r>
          </w:p>
          <w:p>
            <w:pPr>
              <w:widowControl/>
              <w:spacing w:line="240" w:lineRule="exact"/>
              <w:jc w:val="center"/>
              <w:rPr>
                <w:rFonts w:hint="default"/>
                <w:kern w:val="0"/>
                <w:szCs w:val="21"/>
                <w:lang w:val="en-US" w:eastAsia="zh-CN"/>
              </w:rPr>
            </w:pPr>
            <w:r>
              <w:rPr>
                <w:rFonts w:hint="eastAsia"/>
                <w:kern w:val="0"/>
                <w:szCs w:val="21"/>
                <w:lang w:val="en-US" w:eastAsia="zh-CN"/>
              </w:rPr>
              <w:t>合格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控制在</w:t>
            </w:r>
          </w:p>
          <w:p>
            <w:pPr>
              <w:widowControl/>
              <w:spacing w:line="240" w:lineRule="exact"/>
              <w:jc w:val="center"/>
              <w:rPr>
                <w:rFonts w:hint="default"/>
                <w:kern w:val="0"/>
                <w:szCs w:val="21"/>
                <w:lang w:val="en-US" w:eastAsia="zh-CN"/>
              </w:rPr>
            </w:pPr>
            <w:r>
              <w:rPr>
                <w:rFonts w:hint="eastAsia"/>
                <w:kern w:val="0"/>
                <w:szCs w:val="21"/>
                <w:lang w:val="en-US" w:eastAsia="zh-CN"/>
              </w:rPr>
              <w:t>预算内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1"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9</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7" w:type="pct"/>
            <w:tcBorders>
              <w:bottom w:val="single" w:color="auto" w:sz="12" w:space="0"/>
            </w:tcBorders>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default"/>
                <w:kern w:val="0"/>
                <w:szCs w:val="21"/>
                <w:lang w:val="en-US"/>
              </w:rPr>
            </w:pPr>
            <w:r>
              <w:rPr>
                <w:rFonts w:hint="eastAsia"/>
                <w:kern w:val="0"/>
                <w:szCs w:val="21"/>
              </w:rPr>
              <w:t>　</w:t>
            </w:r>
            <w:r>
              <w:rPr>
                <w:rFonts w:hint="eastAsia"/>
                <w:kern w:val="0"/>
                <w:szCs w:val="21"/>
                <w:lang w:val="en-US" w:eastAsia="zh-CN"/>
              </w:rPr>
              <w:t>98</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w:t>
      </w:r>
      <w:r>
        <w:rPr>
          <w:rFonts w:hint="eastAsia" w:eastAsia="方正小标宋简体"/>
          <w:color w:val="000000"/>
          <w:spacing w:val="-12"/>
          <w:kern w:val="0"/>
          <w:sz w:val="44"/>
          <w:szCs w:val="44"/>
          <w:lang w:val="en-US" w:eastAsia="zh-CN"/>
        </w:rPr>
        <w:t>南塔街道</w:t>
      </w:r>
      <w:r>
        <w:rPr>
          <w:rFonts w:hint="eastAsia" w:eastAsia="方正小标宋简体"/>
          <w:color w:val="000000"/>
          <w:spacing w:val="-12"/>
          <w:kern w:val="0"/>
          <w:sz w:val="44"/>
          <w:szCs w:val="44"/>
        </w:rPr>
        <w:t>项目支出绩效目标完成情况表</w:t>
      </w:r>
    </w:p>
    <w:p>
      <w:pPr>
        <w:pStyle w:val="2"/>
        <w:spacing w:after="0" w:line="240" w:lineRule="exact"/>
        <w:rPr>
          <w:rFonts w:ascii="宋体"/>
        </w:rPr>
      </w:pPr>
    </w:p>
    <w:tbl>
      <w:tblPr>
        <w:tblStyle w:val="4"/>
        <w:tblW w:w="928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06"/>
        <w:gridCol w:w="1594"/>
        <w:gridCol w:w="1175"/>
        <w:gridCol w:w="1291"/>
        <w:gridCol w:w="1200"/>
        <w:gridCol w:w="1665"/>
        <w:gridCol w:w="16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578" w:type="dxa"/>
            <w:gridSpan w:val="6"/>
            <w:tcBorders>
              <w:top w:val="single" w:color="auto" w:sz="12" w:space="0"/>
            </w:tcBorders>
            <w:noWrap/>
            <w:vAlign w:val="center"/>
          </w:tcPr>
          <w:p>
            <w:pPr>
              <w:widowControl/>
              <w:spacing w:line="240" w:lineRule="exact"/>
              <w:jc w:val="center"/>
              <w:rPr>
                <w:rFonts w:hint="eastAsia" w:eastAsia="宋体"/>
                <w:color w:val="000000"/>
                <w:kern w:val="0"/>
                <w:szCs w:val="21"/>
                <w:lang w:eastAsia="zh-CN"/>
              </w:rPr>
            </w:pPr>
            <w:r>
              <w:rPr>
                <w:rFonts w:hint="eastAsia" w:eastAsia="方正楷体简体"/>
                <w:b w:val="0"/>
                <w:bCs w:val="0"/>
                <w:sz w:val="24"/>
                <w:szCs w:val="24"/>
                <w:lang w:val="en-US" w:eastAsia="zh-CN"/>
              </w:rPr>
              <w:t>乐至县人民政府南塔街道办事处安装电梯</w:t>
            </w:r>
            <w:r>
              <w:rPr>
                <w:rFonts w:hint="eastAsia" w:eastAsia="方正楷体简体"/>
                <w:b w:val="0"/>
                <w:bCs w:val="0"/>
                <w:sz w:val="24"/>
                <w:szCs w:val="24"/>
                <w:lang w:eastAsia="zh-CN"/>
              </w:rPr>
              <w:t>建设资金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491"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318"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1175" w:type="dxa"/>
            <w:noWrap/>
            <w:vAlign w:val="center"/>
          </w:tcPr>
          <w:p>
            <w:pPr>
              <w:spacing w:line="240" w:lineRule="exact"/>
              <w:jc w:val="center"/>
              <w:rPr>
                <w:szCs w:val="21"/>
              </w:rPr>
            </w:pPr>
            <w:r>
              <w:rPr>
                <w:rFonts w:hint="eastAsia"/>
                <w:color w:val="000000"/>
                <w:kern w:val="0"/>
                <w:szCs w:val="21"/>
              </w:rPr>
              <w:sym w:font="Wingdings 2" w:char="0052"/>
            </w:r>
          </w:p>
        </w:tc>
        <w:tc>
          <w:tcPr>
            <w:tcW w:w="2491" w:type="dxa"/>
            <w:gridSpan w:val="2"/>
            <w:noWrap/>
            <w:vAlign w:val="center"/>
          </w:tcPr>
          <w:p>
            <w:pPr>
              <w:spacing w:line="240" w:lineRule="exact"/>
              <w:jc w:val="center"/>
              <w:rPr>
                <w:szCs w:val="21"/>
              </w:rPr>
            </w:pPr>
            <w:r>
              <w:rPr>
                <w:rFonts w:hint="eastAsia"/>
                <w:color w:val="000000"/>
                <w:kern w:val="0"/>
                <w:szCs w:val="21"/>
              </w:rPr>
              <w:sym w:font="Wingdings 2" w:char="00A3"/>
            </w:r>
          </w:p>
        </w:tc>
        <w:tc>
          <w:tcPr>
            <w:tcW w:w="3318" w:type="dxa"/>
            <w:gridSpan w:val="2"/>
            <w:noWrap/>
            <w:vAlign w:val="center"/>
          </w:tcPr>
          <w:p>
            <w:pPr>
              <w:spacing w:line="240" w:lineRule="exact"/>
              <w:jc w:val="center"/>
              <w:rPr>
                <w:szCs w:val="21"/>
              </w:rPr>
            </w:pPr>
            <w:r>
              <w:rPr>
                <w:rFonts w:hint="eastAsia"/>
                <w:color w:val="000000"/>
                <w:kern w:val="0"/>
                <w:szCs w:val="21"/>
              </w:rPr>
              <w:sym w:font="Wingdings 2" w:char="00A3"/>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5260" w:type="dxa"/>
            <w:gridSpan w:val="4"/>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乐至县人民政府南塔街道办事处</w:t>
            </w:r>
            <w:r>
              <w:rPr>
                <w:rFonts w:hint="eastAsia"/>
                <w:color w:val="000000"/>
                <w:kern w:val="0"/>
                <w:szCs w:val="21"/>
              </w:rPr>
              <w:t>　</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165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301001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06" w:type="dxa"/>
            <w:vMerge w:val="restart"/>
            <w:noWrap/>
            <w:vAlign w:val="center"/>
          </w:tcPr>
          <w:p>
            <w:pPr>
              <w:widowControl/>
              <w:spacing w:line="240" w:lineRule="exact"/>
              <w:jc w:val="both"/>
              <w:rPr>
                <w:color w:val="000000"/>
                <w:kern w:val="0"/>
                <w:szCs w:val="21"/>
              </w:rPr>
            </w:pPr>
            <w:r>
              <w:rPr>
                <w:rFonts w:hint="eastAsia"/>
                <w:color w:val="000000"/>
                <w:kern w:val="0"/>
                <w:szCs w:val="21"/>
              </w:rPr>
              <w:t>预算执行情况</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117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2200.00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2200.00</w:t>
            </w:r>
          </w:p>
        </w:tc>
        <w:tc>
          <w:tcPr>
            <w:tcW w:w="1200"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17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1100.00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1100.00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117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1100.00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1100.00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7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1100.00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1100.00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7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1100.00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1100.00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76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49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31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left"/>
              <w:rPr>
                <w:color w:val="000000"/>
                <w:kern w:val="0"/>
                <w:szCs w:val="21"/>
              </w:rPr>
            </w:pPr>
          </w:p>
        </w:tc>
        <w:tc>
          <w:tcPr>
            <w:tcW w:w="2769"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保障安装电梯顺利实施，群众生活质量得到改善，提高群众满意度。</w:t>
            </w:r>
          </w:p>
        </w:tc>
        <w:tc>
          <w:tcPr>
            <w:tcW w:w="2491" w:type="dxa"/>
            <w:gridSpan w:val="2"/>
            <w:noWrap/>
            <w:vAlign w:val="center"/>
          </w:tcPr>
          <w:p>
            <w:pPr>
              <w:widowControl/>
              <w:spacing w:line="240" w:lineRule="exact"/>
              <w:jc w:val="both"/>
              <w:rPr>
                <w:color w:val="000000"/>
                <w:kern w:val="0"/>
                <w:szCs w:val="21"/>
              </w:rPr>
            </w:pPr>
            <w:r>
              <w:rPr>
                <w:rFonts w:hint="eastAsia"/>
                <w:color w:val="000000"/>
                <w:kern w:val="0"/>
                <w:szCs w:val="21"/>
                <w:lang w:val="en-US" w:eastAsia="zh-CN"/>
              </w:rPr>
              <w:t>安装电梯完成建设，群众生活质量得到一定改善，基本达到预期要求。</w:t>
            </w:r>
            <w:r>
              <w:rPr>
                <w:rFonts w:hint="eastAsia"/>
                <w:color w:val="000000"/>
                <w:kern w:val="0"/>
                <w:szCs w:val="21"/>
              </w:rPr>
              <w:t>　</w:t>
            </w:r>
          </w:p>
        </w:tc>
        <w:tc>
          <w:tcPr>
            <w:tcW w:w="3318" w:type="dxa"/>
            <w:gridSpan w:val="2"/>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1175"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新安装电梯</w:t>
            </w:r>
          </w:p>
        </w:tc>
        <w:tc>
          <w:tcPr>
            <w:tcW w:w="120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安装55部</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完成55部</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ign w:val="center"/>
          </w:tcPr>
          <w:p>
            <w:pPr>
              <w:widowControl/>
              <w:spacing w:line="240" w:lineRule="exact"/>
              <w:jc w:val="center"/>
              <w:rPr>
                <w:rFonts w:hint="eastAsia"/>
                <w:color w:val="000000"/>
                <w:kern w:val="0"/>
                <w:szCs w:val="21"/>
              </w:rPr>
            </w:pPr>
          </w:p>
        </w:tc>
        <w:tc>
          <w:tcPr>
            <w:tcW w:w="1175" w:type="dxa"/>
            <w:vMerge w:val="continue"/>
            <w:noWrap/>
            <w:vAlign w:val="center"/>
          </w:tcPr>
          <w:p>
            <w:pPr>
              <w:widowControl/>
              <w:spacing w:line="240" w:lineRule="exact"/>
              <w:jc w:val="center"/>
              <w:rPr>
                <w:rFonts w:hint="eastAsia"/>
                <w:color w:val="000000"/>
                <w:kern w:val="0"/>
                <w:szCs w:val="21"/>
              </w:rPr>
            </w:pPr>
          </w:p>
        </w:tc>
        <w:tc>
          <w:tcPr>
            <w:tcW w:w="1291" w:type="dxa"/>
            <w:noWrap/>
            <w:vAlign w:val="center"/>
          </w:tcPr>
          <w:p>
            <w:pPr>
              <w:widowControl/>
              <w:spacing w:line="240" w:lineRule="exact"/>
              <w:jc w:val="center"/>
              <w:rPr>
                <w:rFonts w:hint="eastAsia" w:eastAsia="宋体"/>
                <w:color w:val="000000"/>
                <w:kern w:val="0"/>
                <w:szCs w:val="21"/>
                <w:lang w:val="en-US" w:eastAsia="zh-CN"/>
              </w:rPr>
            </w:pPr>
          </w:p>
        </w:tc>
        <w:tc>
          <w:tcPr>
            <w:tcW w:w="1200" w:type="dxa"/>
            <w:noWrap/>
            <w:vAlign w:val="center"/>
          </w:tcPr>
          <w:p>
            <w:pPr>
              <w:widowControl/>
              <w:spacing w:line="240" w:lineRule="exact"/>
              <w:jc w:val="center"/>
              <w:rPr>
                <w:rFonts w:hint="default"/>
                <w:color w:val="000000"/>
                <w:kern w:val="0"/>
                <w:szCs w:val="21"/>
                <w:lang w:val="en-US" w:eastAsia="zh-CN"/>
              </w:rPr>
            </w:pPr>
          </w:p>
        </w:tc>
        <w:tc>
          <w:tcPr>
            <w:tcW w:w="1665" w:type="dxa"/>
            <w:noWrap/>
            <w:vAlign w:val="center"/>
          </w:tcPr>
          <w:p>
            <w:pPr>
              <w:widowControl/>
              <w:spacing w:line="240" w:lineRule="exact"/>
              <w:jc w:val="center"/>
              <w:rPr>
                <w:rFonts w:hint="default"/>
                <w:color w:val="000000"/>
                <w:kern w:val="0"/>
                <w:szCs w:val="21"/>
                <w:lang w:val="en-US" w:eastAsia="zh-CN"/>
              </w:rPr>
            </w:pPr>
          </w:p>
        </w:tc>
        <w:tc>
          <w:tcPr>
            <w:tcW w:w="1653" w:type="dxa"/>
            <w:noWrap/>
            <w:vAlign w:val="center"/>
          </w:tcPr>
          <w:p>
            <w:pPr>
              <w:widowControl/>
              <w:spacing w:line="240" w:lineRule="exact"/>
              <w:ind w:firstLine="210" w:firstLineChars="100"/>
              <w:jc w:val="center"/>
              <w:rPr>
                <w:rFonts w:hint="eastAsia"/>
                <w:color w:val="000000"/>
                <w:kern w:val="0"/>
                <w:szCs w:val="21"/>
              </w:rPr>
            </w:pPr>
            <w:r>
              <w:rPr>
                <w:rFonts w:hint="eastAsia"/>
                <w:color w:val="000000"/>
                <w:kern w:val="0"/>
                <w:szCs w:val="21"/>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ign w:val="center"/>
          </w:tcPr>
          <w:p>
            <w:pPr>
              <w:widowControl/>
              <w:spacing w:line="240" w:lineRule="exact"/>
              <w:jc w:val="center"/>
              <w:rPr>
                <w:rFonts w:hint="eastAsia"/>
                <w:color w:val="000000"/>
                <w:kern w:val="0"/>
                <w:szCs w:val="21"/>
              </w:rPr>
            </w:pPr>
          </w:p>
        </w:tc>
        <w:tc>
          <w:tcPr>
            <w:tcW w:w="1175" w:type="dxa"/>
            <w:vMerge w:val="continue"/>
            <w:noWrap/>
            <w:vAlign w:val="center"/>
          </w:tcPr>
          <w:p>
            <w:pPr>
              <w:widowControl/>
              <w:spacing w:line="240" w:lineRule="exact"/>
              <w:jc w:val="center"/>
              <w:rPr>
                <w:rFonts w:hint="eastAsia"/>
                <w:color w:val="000000"/>
                <w:kern w:val="0"/>
                <w:szCs w:val="21"/>
              </w:rPr>
            </w:pPr>
          </w:p>
        </w:tc>
        <w:tc>
          <w:tcPr>
            <w:tcW w:w="1291" w:type="dxa"/>
            <w:noWrap/>
            <w:vAlign w:val="center"/>
          </w:tcPr>
          <w:p>
            <w:pPr>
              <w:widowControl/>
              <w:spacing w:line="240" w:lineRule="exact"/>
              <w:jc w:val="center"/>
              <w:rPr>
                <w:rFonts w:hint="default"/>
                <w:color w:val="000000"/>
                <w:kern w:val="0"/>
                <w:szCs w:val="21"/>
                <w:lang w:val="en-US"/>
              </w:rPr>
            </w:pPr>
          </w:p>
        </w:tc>
        <w:tc>
          <w:tcPr>
            <w:tcW w:w="1200" w:type="dxa"/>
            <w:noWrap/>
            <w:vAlign w:val="center"/>
          </w:tcPr>
          <w:p>
            <w:pPr>
              <w:widowControl/>
              <w:spacing w:line="240" w:lineRule="exact"/>
              <w:jc w:val="center"/>
              <w:rPr>
                <w:rFonts w:hint="default"/>
                <w:color w:val="000000"/>
                <w:kern w:val="0"/>
                <w:szCs w:val="21"/>
                <w:lang w:val="en-US" w:eastAsia="zh-CN"/>
              </w:rPr>
            </w:pPr>
          </w:p>
        </w:tc>
        <w:tc>
          <w:tcPr>
            <w:tcW w:w="1665" w:type="dxa"/>
            <w:noWrap/>
            <w:vAlign w:val="center"/>
          </w:tcPr>
          <w:p>
            <w:pPr>
              <w:widowControl/>
              <w:spacing w:line="240" w:lineRule="exact"/>
              <w:jc w:val="center"/>
              <w:rPr>
                <w:rFonts w:hint="default"/>
                <w:color w:val="000000"/>
                <w:kern w:val="0"/>
                <w:szCs w:val="21"/>
                <w:lang w:val="en-US" w:eastAsia="zh-CN"/>
              </w:rPr>
            </w:pPr>
          </w:p>
        </w:tc>
        <w:tc>
          <w:tcPr>
            <w:tcW w:w="1653" w:type="dxa"/>
            <w:noWrap/>
            <w:vAlign w:val="center"/>
          </w:tcPr>
          <w:p>
            <w:pPr>
              <w:widowControl/>
              <w:spacing w:line="240" w:lineRule="exact"/>
              <w:ind w:firstLine="210" w:firstLineChars="100"/>
              <w:jc w:val="center"/>
              <w:rPr>
                <w:rFonts w:hint="eastAsia"/>
                <w:color w:val="000000"/>
                <w:kern w:val="0"/>
                <w:szCs w:val="21"/>
              </w:rPr>
            </w:pPr>
            <w:r>
              <w:rPr>
                <w:rFonts w:hint="eastAsia"/>
                <w:color w:val="000000"/>
                <w:kern w:val="0"/>
                <w:szCs w:val="21"/>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ign w:val="center"/>
          </w:tcPr>
          <w:p>
            <w:pPr>
              <w:widowControl/>
              <w:spacing w:line="240" w:lineRule="exact"/>
              <w:jc w:val="center"/>
              <w:rPr>
                <w:rFonts w:hint="eastAsia"/>
                <w:color w:val="000000"/>
                <w:kern w:val="0"/>
                <w:szCs w:val="21"/>
              </w:rPr>
            </w:pPr>
          </w:p>
        </w:tc>
        <w:tc>
          <w:tcPr>
            <w:tcW w:w="1175" w:type="dxa"/>
            <w:vMerge w:val="continue"/>
            <w:noWrap/>
            <w:vAlign w:val="center"/>
          </w:tcPr>
          <w:p>
            <w:pPr>
              <w:widowControl/>
              <w:spacing w:line="240" w:lineRule="exact"/>
              <w:jc w:val="center"/>
              <w:rPr>
                <w:rFonts w:hint="eastAsia"/>
                <w:color w:val="000000"/>
                <w:kern w:val="0"/>
                <w:szCs w:val="21"/>
              </w:rPr>
            </w:pPr>
          </w:p>
        </w:tc>
        <w:tc>
          <w:tcPr>
            <w:tcW w:w="1291" w:type="dxa"/>
            <w:noWrap/>
            <w:vAlign w:val="center"/>
          </w:tcPr>
          <w:p>
            <w:pPr>
              <w:widowControl/>
              <w:spacing w:line="240" w:lineRule="exact"/>
              <w:jc w:val="center"/>
              <w:rPr>
                <w:rFonts w:hint="eastAsia" w:eastAsia="宋体"/>
                <w:color w:val="000000"/>
                <w:kern w:val="0"/>
                <w:szCs w:val="21"/>
                <w:lang w:val="en-US" w:eastAsia="zh-CN"/>
              </w:rPr>
            </w:pPr>
          </w:p>
        </w:tc>
        <w:tc>
          <w:tcPr>
            <w:tcW w:w="1200" w:type="dxa"/>
            <w:noWrap/>
            <w:vAlign w:val="center"/>
          </w:tcPr>
          <w:p>
            <w:pPr>
              <w:widowControl/>
              <w:spacing w:line="240" w:lineRule="exact"/>
              <w:jc w:val="center"/>
              <w:rPr>
                <w:rFonts w:hint="default"/>
                <w:color w:val="000000"/>
                <w:kern w:val="0"/>
                <w:szCs w:val="21"/>
                <w:lang w:val="en-US" w:eastAsia="zh-CN"/>
              </w:rPr>
            </w:pPr>
          </w:p>
        </w:tc>
        <w:tc>
          <w:tcPr>
            <w:tcW w:w="1665" w:type="dxa"/>
            <w:noWrap/>
            <w:vAlign w:val="center"/>
          </w:tcPr>
          <w:p>
            <w:pPr>
              <w:widowControl/>
              <w:spacing w:line="240" w:lineRule="exact"/>
              <w:jc w:val="center"/>
              <w:rPr>
                <w:rFonts w:hint="default"/>
                <w:color w:val="000000"/>
                <w:kern w:val="0"/>
                <w:szCs w:val="21"/>
                <w:lang w:val="en-US" w:eastAsia="zh-CN"/>
              </w:rPr>
            </w:pPr>
          </w:p>
        </w:tc>
        <w:tc>
          <w:tcPr>
            <w:tcW w:w="1653" w:type="dxa"/>
            <w:noWrap/>
            <w:vAlign w:val="center"/>
          </w:tcPr>
          <w:p>
            <w:pPr>
              <w:widowControl/>
              <w:spacing w:line="240" w:lineRule="exact"/>
              <w:ind w:firstLine="210" w:firstLineChars="100"/>
              <w:jc w:val="center"/>
              <w:rPr>
                <w:rFonts w:hint="eastAsia"/>
                <w:color w:val="000000"/>
                <w:kern w:val="0"/>
                <w:szCs w:val="21"/>
              </w:rPr>
            </w:pPr>
            <w:r>
              <w:rPr>
                <w:rFonts w:hint="eastAsia"/>
                <w:color w:val="000000"/>
                <w:kern w:val="0"/>
                <w:szCs w:val="21"/>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5"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竣工验收质量合格率</w:t>
            </w:r>
          </w:p>
        </w:tc>
        <w:tc>
          <w:tcPr>
            <w:tcW w:w="120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验收合格率为100%</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完成时效</w:t>
            </w:r>
          </w:p>
        </w:tc>
        <w:tc>
          <w:tcPr>
            <w:tcW w:w="1200"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120天</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完成工期120天</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eastAsia"/>
                <w:color w:val="000000"/>
                <w:kern w:val="0"/>
                <w:szCs w:val="21"/>
                <w:lang w:val="en-US" w:eastAsia="zh-CN"/>
              </w:rPr>
            </w:pPr>
            <w:r>
              <w:rPr>
                <w:rFonts w:hint="eastAsia"/>
                <w:color w:val="000000"/>
                <w:kern w:val="0"/>
                <w:szCs w:val="21"/>
                <w:lang w:val="en-US" w:eastAsia="zh-CN"/>
              </w:rPr>
              <w:t>项目</w:t>
            </w:r>
          </w:p>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资金总投入</w:t>
            </w:r>
          </w:p>
        </w:tc>
        <w:tc>
          <w:tcPr>
            <w:tcW w:w="120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≤2200万元</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已投入2200万元</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30"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可持续影响</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 xml:space="preserve">项目总合使用年限 </w:t>
            </w:r>
          </w:p>
        </w:tc>
        <w:tc>
          <w:tcPr>
            <w:tcW w:w="1200"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 xml:space="preserve"> ≥20年</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预计2</w:t>
            </w:r>
            <w:bookmarkStart w:id="0" w:name="_GoBack"/>
            <w:bookmarkEnd w:id="0"/>
            <w:r>
              <w:rPr>
                <w:rFonts w:hint="eastAsia"/>
                <w:color w:val="000000"/>
                <w:kern w:val="0"/>
                <w:szCs w:val="21"/>
                <w:lang w:val="en-US" w:eastAsia="zh-CN"/>
              </w:rPr>
              <w:t xml:space="preserve">0年以上 </w:t>
            </w:r>
          </w:p>
        </w:tc>
        <w:tc>
          <w:tcPr>
            <w:tcW w:w="165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 xml:space="preserve">无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 xml:space="preserve"> 受益群众满意度</w:t>
            </w:r>
          </w:p>
        </w:tc>
        <w:tc>
          <w:tcPr>
            <w:tcW w:w="120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≥90%</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满意度95%</w:t>
            </w:r>
          </w:p>
        </w:tc>
        <w:tc>
          <w:tcPr>
            <w:tcW w:w="165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w:t>
            </w:r>
          </w:p>
        </w:tc>
      </w:tr>
    </w:tbl>
    <w:p>
      <w:pPr>
        <w:spacing w:line="620" w:lineRule="exact"/>
        <w:jc w:val="center"/>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3ZGJjM2EzZDFiNTMyMGMxM2E0OGM2ZGY0MTMyY2UifQ=="/>
  </w:docVars>
  <w:rsids>
    <w:rsidRoot w:val="166A1634"/>
    <w:rsid w:val="04F075F0"/>
    <w:rsid w:val="072136B4"/>
    <w:rsid w:val="0B0010B3"/>
    <w:rsid w:val="0C7E54E8"/>
    <w:rsid w:val="0CF354CA"/>
    <w:rsid w:val="0D024DC1"/>
    <w:rsid w:val="0E7705ED"/>
    <w:rsid w:val="13957470"/>
    <w:rsid w:val="151F285D"/>
    <w:rsid w:val="15951F88"/>
    <w:rsid w:val="166A1634"/>
    <w:rsid w:val="171C41D4"/>
    <w:rsid w:val="17AD19F5"/>
    <w:rsid w:val="18BA2219"/>
    <w:rsid w:val="1A7A6963"/>
    <w:rsid w:val="1D401DDE"/>
    <w:rsid w:val="20BE798D"/>
    <w:rsid w:val="23761AD2"/>
    <w:rsid w:val="2E0B7D89"/>
    <w:rsid w:val="2E1D3465"/>
    <w:rsid w:val="339C589A"/>
    <w:rsid w:val="34B16D22"/>
    <w:rsid w:val="3B8C52EB"/>
    <w:rsid w:val="3F497323"/>
    <w:rsid w:val="43700831"/>
    <w:rsid w:val="44F602E9"/>
    <w:rsid w:val="4916794A"/>
    <w:rsid w:val="535830F8"/>
    <w:rsid w:val="541C4C02"/>
    <w:rsid w:val="5425489B"/>
    <w:rsid w:val="56F75F74"/>
    <w:rsid w:val="5A56518C"/>
    <w:rsid w:val="5EAE2803"/>
    <w:rsid w:val="63273A76"/>
    <w:rsid w:val="6498300E"/>
    <w:rsid w:val="656A06B0"/>
    <w:rsid w:val="6FF2616E"/>
    <w:rsid w:val="71A22EB7"/>
    <w:rsid w:val="73885FA3"/>
    <w:rsid w:val="751E4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pPr>
      <w:spacing w:after="120"/>
    </w:pPr>
    <w:rPr>
      <w:rFonts w:ascii="Calibri" w:hAnsi="Calibri" w:cs="宋体"/>
      <w:kern w:val="0"/>
      <w:sz w:val="20"/>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2022-08-08T01:57:00Z</dcterms:created>
  <dc:creator>cpa</dc:creator>
  <cp:lastModifiedBy>哟呵。</cp:lastModifiedBy>
  <dcterms:modified xsi:type="dcterms:W3CDTF">2023-11-09T08:28:14Z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39A52BF9DA6440348AF970972D7A8D9F</vt:lpwstr>
  </property>
</Properties>
</file>